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EE" w:rsidRPr="00861040" w:rsidRDefault="00FB7235" w:rsidP="00AA59E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040">
        <w:rPr>
          <w:rFonts w:ascii="Times New Roman" w:hAnsi="Times New Roman"/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Кінетичні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закономірності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ущільнення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структуроутворення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ансамблів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наночастинок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процесах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колоїдного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формування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впливом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зовнішніх</w:t>
      </w:r>
      <w:proofErr w:type="spellEnd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A59EE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полів</w:t>
      </w:r>
      <w:proofErr w:type="spellEnd"/>
      <w:r w:rsidR="00E44001" w:rsidRPr="008610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”</w:t>
      </w:r>
    </w:p>
    <w:p w:rsidR="00FB7235" w:rsidRPr="00861040" w:rsidRDefault="00FB7235" w:rsidP="00B320F2">
      <w:pPr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235" w:rsidRPr="00861040" w:rsidRDefault="00FB7235" w:rsidP="00FB7235">
      <w:pPr>
        <w:shd w:val="clear" w:color="auto" w:fill="FFFFFF"/>
        <w:spacing w:line="360" w:lineRule="auto"/>
        <w:ind w:right="19"/>
        <w:rPr>
          <w:rFonts w:ascii="Times New Roman" w:hAnsi="Times New Roman"/>
          <w:b/>
          <w:sz w:val="24"/>
          <w:szCs w:val="24"/>
        </w:rPr>
      </w:pPr>
    </w:p>
    <w:p w:rsidR="002A4B69" w:rsidRPr="00861040" w:rsidRDefault="00FB7235" w:rsidP="002A4B69">
      <w:pPr>
        <w:spacing w:line="350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61040">
        <w:rPr>
          <w:rFonts w:ascii="Times New Roman" w:eastAsia="Times New Roman" w:hAnsi="Times New Roman"/>
          <w:b/>
          <w:sz w:val="24"/>
          <w:szCs w:val="24"/>
          <w:lang w:val="uk-UA"/>
        </w:rPr>
        <w:t>Мета роботи</w:t>
      </w:r>
      <w:r w:rsidRPr="00861040">
        <w:rPr>
          <w:rFonts w:ascii="Times New Roman" w:eastAsia="Times New Roman" w:hAnsi="Times New Roman"/>
          <w:sz w:val="24"/>
          <w:szCs w:val="24"/>
          <w:lang w:val="uk-UA"/>
        </w:rPr>
        <w:t xml:space="preserve"> -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полягає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вивченні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фізико-хімічних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основ синтезу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нанопорошків</w:t>
      </w:r>
      <w:proofErr w:type="spellEnd"/>
      <w:r w:rsidR="002A4B69"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оксидних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сполук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самоорганізації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процесі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електрофоретичного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осадження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плівкового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лиття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та трафаретного </w:t>
      </w:r>
      <w:proofErr w:type="spellStart"/>
      <w:r w:rsidR="002A4B69" w:rsidRPr="00861040">
        <w:rPr>
          <w:rFonts w:ascii="Times New Roman" w:eastAsia="Times New Roman" w:hAnsi="Times New Roman"/>
          <w:sz w:val="24"/>
          <w:szCs w:val="24"/>
        </w:rPr>
        <w:t>друку</w:t>
      </w:r>
      <w:proofErr w:type="spellEnd"/>
      <w:r w:rsidR="002A4B69" w:rsidRPr="00861040">
        <w:rPr>
          <w:rFonts w:ascii="Times New Roman" w:eastAsia="Times New Roman" w:hAnsi="Times New Roman"/>
          <w:sz w:val="24"/>
          <w:szCs w:val="24"/>
        </w:rPr>
        <w:t>.</w:t>
      </w:r>
      <w:r w:rsidR="002A4B69" w:rsidRPr="008610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4B69" w:rsidRPr="00861040" w:rsidRDefault="002A4B69" w:rsidP="002A4B69">
      <w:pPr>
        <w:spacing w:line="350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2A4B69" w:rsidRPr="00861040" w:rsidRDefault="002A4B69" w:rsidP="002A4B69">
      <w:pPr>
        <w:spacing w:line="25" w:lineRule="exact"/>
        <w:rPr>
          <w:rFonts w:ascii="Times New Roman" w:eastAsia="Times New Roman" w:hAnsi="Times New Roman"/>
          <w:sz w:val="24"/>
          <w:szCs w:val="24"/>
        </w:rPr>
      </w:pPr>
    </w:p>
    <w:p w:rsidR="00FB7235" w:rsidRPr="00861040" w:rsidRDefault="00FB7235" w:rsidP="00FB7235">
      <w:pPr>
        <w:spacing w:line="360" w:lineRule="auto"/>
        <w:rPr>
          <w:rFonts w:ascii="Times New Roman" w:hAnsi="Times New Roman"/>
          <w:sz w:val="24"/>
          <w:szCs w:val="24"/>
        </w:rPr>
      </w:pPr>
      <w:r w:rsidRPr="00861040">
        <w:rPr>
          <w:rFonts w:ascii="Times New Roman" w:eastAsia="Times New Roman" w:hAnsi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861040">
        <w:rPr>
          <w:rFonts w:ascii="Times New Roman" w:eastAsia="Times New Roman" w:hAnsi="Times New Roman"/>
          <w:bCs/>
          <w:sz w:val="24"/>
          <w:szCs w:val="24"/>
          <w:lang w:val="uk-UA"/>
        </w:rPr>
        <w:t>І кв. 2015 р.</w:t>
      </w:r>
    </w:p>
    <w:p w:rsidR="00FB7235" w:rsidRPr="00861040" w:rsidRDefault="00FB7235" w:rsidP="00FB7235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61040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861040">
        <w:rPr>
          <w:rFonts w:ascii="Times New Roman" w:eastAsia="Times New Roman" w:hAnsi="Times New Roman"/>
          <w:bCs/>
          <w:sz w:val="24"/>
          <w:szCs w:val="24"/>
          <w:lang w:val="en-US"/>
        </w:rPr>
        <w:t>IV</w:t>
      </w:r>
      <w:r w:rsidRPr="0086104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кв. 2017 р. </w:t>
      </w:r>
    </w:p>
    <w:p w:rsidR="00FB7235" w:rsidRPr="00861040" w:rsidRDefault="00FB7235" w:rsidP="00FB7235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B7235" w:rsidRPr="00861040" w:rsidRDefault="00FB7235" w:rsidP="00FB7235">
      <w:pPr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6104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Керівник роботи</w:t>
      </w:r>
      <w:r w:rsidRPr="00861040">
        <w:rPr>
          <w:rFonts w:ascii="Times New Roman" w:eastAsia="Times New Roman" w:hAnsi="Times New Roman"/>
          <w:sz w:val="24"/>
          <w:szCs w:val="24"/>
          <w:lang w:val="uk-UA"/>
        </w:rPr>
        <w:t xml:space="preserve">:  </w:t>
      </w:r>
      <w:proofErr w:type="spellStart"/>
      <w:r w:rsidR="009E1541" w:rsidRPr="00861040">
        <w:rPr>
          <w:rStyle w:val="author"/>
          <w:rFonts w:ascii="Times New Roman" w:hAnsi="Times New Roman"/>
          <w:sz w:val="24"/>
          <w:szCs w:val="24"/>
        </w:rPr>
        <w:t>Рагуля</w:t>
      </w:r>
      <w:proofErr w:type="spellEnd"/>
      <w:r w:rsidR="009E1541" w:rsidRPr="00861040">
        <w:rPr>
          <w:rStyle w:val="author"/>
          <w:rFonts w:ascii="Times New Roman" w:hAnsi="Times New Roman"/>
          <w:sz w:val="24"/>
          <w:szCs w:val="24"/>
        </w:rPr>
        <w:t xml:space="preserve"> </w:t>
      </w:r>
      <w:proofErr w:type="spellStart"/>
      <w:r w:rsidR="009E1541" w:rsidRPr="00861040">
        <w:rPr>
          <w:rStyle w:val="author"/>
          <w:rFonts w:ascii="Times New Roman" w:hAnsi="Times New Roman"/>
          <w:sz w:val="24"/>
          <w:szCs w:val="24"/>
        </w:rPr>
        <w:t>Андрій</w:t>
      </w:r>
      <w:proofErr w:type="spellEnd"/>
      <w:r w:rsidR="009E1541" w:rsidRPr="00861040">
        <w:rPr>
          <w:rStyle w:val="author"/>
          <w:rFonts w:ascii="Times New Roman" w:hAnsi="Times New Roman"/>
          <w:sz w:val="24"/>
          <w:szCs w:val="24"/>
        </w:rPr>
        <w:t xml:space="preserve"> </w:t>
      </w:r>
      <w:proofErr w:type="spellStart"/>
      <w:r w:rsidR="009E1541" w:rsidRPr="00861040">
        <w:rPr>
          <w:rStyle w:val="author"/>
          <w:rFonts w:ascii="Times New Roman" w:hAnsi="Times New Roman"/>
          <w:sz w:val="24"/>
          <w:szCs w:val="24"/>
        </w:rPr>
        <w:t>Володимирович</w:t>
      </w:r>
      <w:proofErr w:type="spellEnd"/>
      <w:r w:rsidR="009E1541" w:rsidRPr="00861040">
        <w:rPr>
          <w:rStyle w:val="author"/>
          <w:rFonts w:ascii="Times New Roman" w:hAnsi="Times New Roman"/>
          <w:sz w:val="24"/>
          <w:szCs w:val="24"/>
        </w:rPr>
        <w:t>, д.т.н., чл</w:t>
      </w:r>
      <w:proofErr w:type="gramStart"/>
      <w:r w:rsidR="009E1541" w:rsidRPr="00861040">
        <w:rPr>
          <w:rStyle w:val="author"/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="009E1541" w:rsidRPr="00861040">
        <w:rPr>
          <w:rStyle w:val="author"/>
          <w:rFonts w:ascii="Times New Roman" w:hAnsi="Times New Roman"/>
          <w:sz w:val="24"/>
          <w:szCs w:val="24"/>
        </w:rPr>
        <w:t>кор</w:t>
      </w:r>
      <w:proofErr w:type="spellEnd"/>
      <w:r w:rsidR="009E1541" w:rsidRPr="00861040">
        <w:rPr>
          <w:rStyle w:val="author"/>
          <w:rFonts w:ascii="Times New Roman" w:hAnsi="Times New Roman"/>
          <w:sz w:val="24"/>
          <w:szCs w:val="24"/>
        </w:rPr>
        <w:t>. НАНУ, (</w:t>
      </w:r>
      <w:proofErr w:type="spellStart"/>
      <w:r w:rsidR="009E1541" w:rsidRPr="00861040">
        <w:rPr>
          <w:rStyle w:val="author"/>
          <w:rFonts w:ascii="Times New Roman" w:hAnsi="Times New Roman"/>
          <w:sz w:val="24"/>
          <w:szCs w:val="24"/>
        </w:rPr>
        <w:t>Email</w:t>
      </w:r>
      <w:proofErr w:type="spellEnd"/>
      <w:r w:rsidR="009E1541" w:rsidRPr="00861040">
        <w:rPr>
          <w:rStyle w:val="author"/>
          <w:rFonts w:ascii="Times New Roman" w:hAnsi="Times New Roman"/>
          <w:sz w:val="24"/>
          <w:szCs w:val="24"/>
        </w:rPr>
        <w:t xml:space="preserve">: ragulya@ipms.kiev.ua) </w:t>
      </w:r>
    </w:p>
    <w:p w:rsidR="00F40BD8" w:rsidRPr="00861040" w:rsidRDefault="00FB7235" w:rsidP="00AA59EE">
      <w:pPr>
        <w:tabs>
          <w:tab w:val="left" w:pos="360"/>
          <w:tab w:val="left" w:pos="3960"/>
        </w:tabs>
        <w:ind w:left="360" w:firstLine="63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1040">
        <w:rPr>
          <w:rFonts w:ascii="Times New Roman" w:hAnsi="Times New Roman"/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F40BD8" w:rsidRPr="008610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4352" w:rsidRPr="00861040" w:rsidRDefault="00654352" w:rsidP="00AA59EE">
      <w:pPr>
        <w:tabs>
          <w:tab w:val="left" w:pos="360"/>
          <w:tab w:val="left" w:pos="3960"/>
        </w:tabs>
        <w:ind w:left="360" w:firstLine="633"/>
        <w:jc w:val="both"/>
        <w:rPr>
          <w:rFonts w:ascii="Times New Roman" w:hAnsi="Times New Roman"/>
          <w:sz w:val="24"/>
          <w:szCs w:val="24"/>
          <w:lang w:val="uk-UA"/>
        </w:rPr>
      </w:pPr>
      <w:r w:rsidRPr="008610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9EE" w:rsidRPr="00861040" w:rsidRDefault="00AA59EE" w:rsidP="00AA59EE">
      <w:pPr>
        <w:tabs>
          <w:tab w:val="left" w:pos="360"/>
          <w:tab w:val="left" w:pos="3960"/>
        </w:tabs>
        <w:ind w:left="360" w:firstLine="6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 роботі вперше показано, що регулюючи розмір молекули полімеру шляхом проведення його пластифікації можна керувати інтенсивністю і повнотою проходження процесів флокуляції і відповідно розмірами структурних елементів у зсувному потоці під конкретний літографічний метод колоїдного формування. Показано, що для формування плівок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нанокристалічного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BaTiO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методом трафаретного друку із товщиною менше 1 мкм та шорсткістю поверхні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співрозмірною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із розміром однієї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наночастинки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пасти повинні проявляти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реопексний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- тиксотропний» характер течії і мати ступінь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реопексії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1,5 &gt; Р &gt; 0,5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кПа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/с та ступінь тиксотропності Т ≥ 1,5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кПа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/с. Встановлено, що з метою формування сирих плівок на основі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нанодисперсних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порошків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BaTiO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товщиною близько 300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нм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з шорсткістю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= 24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методом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плівкового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лиття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доцільно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псевдопластичні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суспензії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загущуються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зсуву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початковому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етапі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деформування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7235" w:rsidRPr="00861040" w:rsidRDefault="00FB7235" w:rsidP="00FB7235">
      <w:pPr>
        <w:tabs>
          <w:tab w:val="left" w:pos="786"/>
        </w:tabs>
        <w:spacing w:after="244" w:line="36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8610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4352" w:rsidRPr="00861040" w:rsidRDefault="00FB7235" w:rsidP="00E44001">
      <w:pPr>
        <w:tabs>
          <w:tab w:val="left" w:pos="360"/>
          <w:tab w:val="left" w:pos="3960"/>
        </w:tabs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61040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44001" w:rsidRPr="0086104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40BD8" w:rsidRPr="0086104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40BD8" w:rsidRPr="00861040" w:rsidRDefault="00F40BD8" w:rsidP="00E44001">
      <w:pPr>
        <w:tabs>
          <w:tab w:val="left" w:pos="360"/>
          <w:tab w:val="left" w:pos="39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44001" w:rsidRPr="00861040" w:rsidRDefault="00654352" w:rsidP="00E44001">
      <w:pPr>
        <w:tabs>
          <w:tab w:val="left" w:pos="360"/>
          <w:tab w:val="left" w:pos="3960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</w:t>
      </w:r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езультати проведених досліджень можуть бути використані у літографічних методах виробництва при розробці технології формування таких багатошарових </w:t>
      </w:r>
      <w:proofErr w:type="spellStart"/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нанокомпозитів</w:t>
      </w:r>
      <w:proofErr w:type="spellEnd"/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як багатошарові керамічні конденсатори, елементи сонячних батарей, </w:t>
      </w:r>
      <w:proofErr w:type="spellStart"/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твердооксидні</w:t>
      </w:r>
      <w:proofErr w:type="spellEnd"/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паливні комірки.</w:t>
      </w:r>
    </w:p>
    <w:p w:rsidR="00E44001" w:rsidRPr="00861040" w:rsidRDefault="00E44001" w:rsidP="00E44001">
      <w:pPr>
        <w:tabs>
          <w:tab w:val="left" w:pos="360"/>
          <w:tab w:val="left" w:pos="3960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1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7235" w:rsidRPr="00861040" w:rsidRDefault="00FB7235" w:rsidP="002A4B69">
      <w:pPr>
        <w:tabs>
          <w:tab w:val="left" w:pos="360"/>
          <w:tab w:val="left" w:pos="3960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1040">
        <w:rPr>
          <w:rFonts w:ascii="Times New Roman" w:eastAsia="Times New Roman" w:hAnsi="Times New Roman"/>
          <w:sz w:val="24"/>
          <w:szCs w:val="24"/>
          <w:lang w:val="uk-UA"/>
        </w:rPr>
        <w:t xml:space="preserve">   Дані про реєстрацію роботи: №</w:t>
      </w:r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РК №0115</w:t>
      </w:r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</w:t>
      </w:r>
      <w:r w:rsidR="00E44001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002109</w:t>
      </w:r>
      <w:r w:rsidR="002A4B69" w:rsidRPr="008610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A4B69" w:rsidRPr="008610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A4B69" w:rsidRPr="00861040" w:rsidRDefault="002A4B69" w:rsidP="002A4B69">
      <w:pPr>
        <w:tabs>
          <w:tab w:val="left" w:pos="360"/>
          <w:tab w:val="left" w:pos="3960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4001" w:rsidRPr="00861040" w:rsidRDefault="00FB7235" w:rsidP="00E44001">
      <w:pPr>
        <w:spacing w:line="348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6104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РЕФЕРАТ </w:t>
      </w:r>
    </w:p>
    <w:p w:rsidR="00E44001" w:rsidRPr="00861040" w:rsidRDefault="00E44001" w:rsidP="00E44001">
      <w:pPr>
        <w:spacing w:line="308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E44001">
      <w:pPr>
        <w:spacing w:line="331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040">
        <w:rPr>
          <w:rFonts w:ascii="Times New Roman" w:eastAsia="Times New Roman" w:hAnsi="Times New Roman"/>
          <w:b/>
          <w:sz w:val="24"/>
          <w:szCs w:val="24"/>
        </w:rPr>
        <w:t>Об’єкт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b/>
          <w:sz w:val="24"/>
          <w:szCs w:val="24"/>
        </w:rPr>
        <w:t>досл</w:t>
      </w:r>
      <w:proofErr w:type="gramEnd"/>
      <w:r w:rsidRPr="00861040">
        <w:rPr>
          <w:rFonts w:ascii="Times New Roman" w:eastAsia="Times New Roman" w:hAnsi="Times New Roman"/>
          <w:b/>
          <w:sz w:val="24"/>
          <w:szCs w:val="24"/>
        </w:rPr>
        <w:t>ідження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Нанопорошки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титанату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барію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та</w:t>
      </w: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NiO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,</w:t>
      </w: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суспензії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титанату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барію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пасти для трафаретного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друку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основі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нанодисперсних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порошків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ВаТіО</w:t>
      </w:r>
      <w:r w:rsidRPr="0086104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86104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lastRenderedPageBreak/>
        <w:t>Ni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NiO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керамічні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пл</w:t>
      </w:r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>івки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плівки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надрукованими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електродами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спечені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двошарові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об’єкти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провідник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діелектрик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».</w:t>
      </w:r>
    </w:p>
    <w:p w:rsidR="00E44001" w:rsidRPr="00861040" w:rsidRDefault="00E44001" w:rsidP="00E44001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E44001">
      <w:pPr>
        <w:spacing w:line="350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Мета </w:t>
      </w:r>
      <w:proofErr w:type="spellStart"/>
      <w:r w:rsidRPr="00861040">
        <w:rPr>
          <w:rFonts w:ascii="Times New Roman" w:eastAsia="Times New Roman" w:hAnsi="Times New Roman"/>
          <w:b/>
          <w:sz w:val="24"/>
          <w:szCs w:val="24"/>
        </w:rPr>
        <w:t>роботи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полягає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вивченні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фізико-хімічних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основ синтезу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нанопорошків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оксидних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сполук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самоорганізації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процесі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електрофоретичного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осадження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пл</w:t>
      </w:r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>івкового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лиття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та трафаретного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друку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.</w:t>
      </w:r>
    </w:p>
    <w:p w:rsidR="00E44001" w:rsidRPr="00861040" w:rsidRDefault="00E44001" w:rsidP="00E44001">
      <w:pPr>
        <w:spacing w:line="25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E44001">
      <w:pPr>
        <w:spacing w:line="352" w:lineRule="auto"/>
        <w:ind w:left="1"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040">
        <w:rPr>
          <w:rFonts w:ascii="Times New Roman" w:eastAsia="Times New Roman" w:hAnsi="Times New Roman"/>
          <w:b/>
          <w:sz w:val="24"/>
          <w:szCs w:val="24"/>
        </w:rPr>
        <w:t>Методи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b/>
          <w:sz w:val="24"/>
          <w:szCs w:val="24"/>
        </w:rPr>
        <w:t>досл</w:t>
      </w:r>
      <w:proofErr w:type="gramEnd"/>
      <w:r w:rsidRPr="00861040">
        <w:rPr>
          <w:rFonts w:ascii="Times New Roman" w:eastAsia="Times New Roman" w:hAnsi="Times New Roman"/>
          <w:b/>
          <w:sz w:val="24"/>
          <w:szCs w:val="24"/>
        </w:rPr>
        <w:t>ідження</w:t>
      </w:r>
      <w:proofErr w:type="spellEnd"/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1040">
        <w:rPr>
          <w:rFonts w:ascii="Times New Roman" w:eastAsia="Times New Roman" w:hAnsi="Times New Roman"/>
          <w:sz w:val="24"/>
          <w:szCs w:val="24"/>
        </w:rPr>
        <w:t>–</w:t>
      </w: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ротаційна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віскозиметрія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,</w:t>
      </w: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рентгено-фазовий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аналіз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,</w:t>
      </w:r>
      <w:r w:rsidRPr="00861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1040">
        <w:rPr>
          <w:rFonts w:ascii="Times New Roman" w:eastAsia="Times New Roman" w:hAnsi="Times New Roman"/>
          <w:sz w:val="24"/>
          <w:szCs w:val="24"/>
        </w:rPr>
        <w:t xml:space="preserve">АСМ, СЕМ, СЕМ ВР, ТЕМ ВР та ТЕМ за методом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двоступеневих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реплік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оптична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мікроскопія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оптична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профілометрія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термогравіметрія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низькотемпературна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адсорбція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азоту.</w:t>
      </w:r>
    </w:p>
    <w:p w:rsidR="00E44001" w:rsidRPr="00861040" w:rsidRDefault="00E44001" w:rsidP="00E4400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E44001">
      <w:pPr>
        <w:spacing w:line="0" w:lineRule="atLeast"/>
        <w:ind w:left="5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Розроблено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методологію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трафаретного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друку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двошарових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об’єктів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пров</w:t>
      </w:r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>ідник</w:t>
      </w:r>
      <w:proofErr w:type="spellEnd"/>
    </w:p>
    <w:p w:rsidR="00E44001" w:rsidRPr="00861040" w:rsidRDefault="00E44001" w:rsidP="00E44001">
      <w:pPr>
        <w:spacing w:line="66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E44001">
      <w:pPr>
        <w:numPr>
          <w:ilvl w:val="0"/>
          <w:numId w:val="1"/>
        </w:numPr>
        <w:tabs>
          <w:tab w:val="left" w:pos="347"/>
        </w:tabs>
        <w:spacing w:line="360" w:lineRule="auto"/>
        <w:ind w:left="1" w:hanging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діелектрик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» на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основі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нанопорошків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BaTiO</w:t>
      </w:r>
      <w:r w:rsidRPr="0086104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86104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NiO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товщиною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діелектричного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шару 0,7 – 0,8 мкм та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шорсткістю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поверхні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20 – 25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нм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пл</w:t>
      </w:r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>івкового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лиття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сирих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плівок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основі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нанодисперсних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порошків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легованого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титанату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барію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товщиною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близько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300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нм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та з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шорсткістю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поверхні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=0.024 мкм.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Встановлено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,</w:t>
      </w:r>
    </w:p>
    <w:p w:rsidR="00E44001" w:rsidRPr="00861040" w:rsidRDefault="00E44001" w:rsidP="00E44001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E44001" w:rsidRPr="00861040" w:rsidRDefault="00E44001" w:rsidP="00654352">
      <w:pPr>
        <w:spacing w:line="328" w:lineRule="auto"/>
        <w:ind w:left="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усі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зразки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характеризувались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збереженням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форми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суцільності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чіткою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межею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розділу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між</w:t>
      </w:r>
      <w:proofErr w:type="spellEnd"/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двома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функціональними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шарами.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Виявлено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відбулось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зростання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наночастинок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BaTiO</w:t>
      </w:r>
      <w:r w:rsidRPr="00861040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86104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рихлі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агрегати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чіткими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межами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розділу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Діапазон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розмі</w:t>
      </w:r>
      <w:proofErr w:type="gramStart"/>
      <w:r w:rsidRPr="0086104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861040">
        <w:rPr>
          <w:rFonts w:ascii="Times New Roman" w:eastAsia="Times New Roman" w:hAnsi="Times New Roman"/>
          <w:sz w:val="24"/>
          <w:szCs w:val="24"/>
        </w:rPr>
        <w:t>ів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зерен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складав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50 – 200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нм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основної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складової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 xml:space="preserve"> 100 – 200 </w:t>
      </w:r>
      <w:proofErr w:type="spellStart"/>
      <w:r w:rsidRPr="00861040">
        <w:rPr>
          <w:rFonts w:ascii="Times New Roman" w:eastAsia="Times New Roman" w:hAnsi="Times New Roman"/>
          <w:sz w:val="24"/>
          <w:szCs w:val="24"/>
        </w:rPr>
        <w:t>нм</w:t>
      </w:r>
      <w:proofErr w:type="spellEnd"/>
      <w:r w:rsidRPr="00861040">
        <w:rPr>
          <w:rFonts w:ascii="Times New Roman" w:eastAsia="Times New Roman" w:hAnsi="Times New Roman"/>
          <w:sz w:val="24"/>
          <w:szCs w:val="24"/>
        </w:rPr>
        <w:t>.</w:t>
      </w:r>
      <w:r w:rsidR="00FB7235" w:rsidRPr="0086104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B7235" w:rsidRPr="00861040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="00FB7235" w:rsidRPr="00861040">
        <w:rPr>
          <w:rFonts w:ascii="Times New Roman" w:hAnsi="Times New Roman"/>
          <w:sz w:val="24"/>
          <w:szCs w:val="24"/>
          <w:lang w:val="uk-UA"/>
        </w:rPr>
        <w:t>:</w:t>
      </w:r>
      <w:r w:rsidRPr="00861040">
        <w:rPr>
          <w:rFonts w:ascii="Times New Roman" w:eastAsia="Times New Roman" w:hAnsi="Times New Roman"/>
          <w:sz w:val="24"/>
          <w:szCs w:val="24"/>
        </w:rPr>
        <w:t xml:space="preserve"> НАНОПОРОШКИ, ТРАФАРЕТНИЙ ДРУК, ПЛІВКОВЕ ЛИТТЯ, ЕЛЕКТРОФОРЕТИЧНЕ ОСАДЖЕННЯ, СУСПЕНЗІЇ, РЕОЛОГІЯ, ПЛІВКИ.</w:t>
      </w:r>
    </w:p>
    <w:p w:rsidR="00FB7235" w:rsidRPr="00861040" w:rsidRDefault="00FB7235" w:rsidP="00FB7235">
      <w:pPr>
        <w:shd w:val="clear" w:color="auto" w:fill="FFFFFF"/>
        <w:spacing w:before="10" w:line="480" w:lineRule="exact"/>
        <w:ind w:left="2410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54352" w:rsidRPr="00861040" w:rsidRDefault="00FB7235" w:rsidP="00654352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61040">
        <w:rPr>
          <w:rFonts w:ascii="Times New Roman" w:eastAsia="Times New Roman" w:hAnsi="Times New Roman"/>
          <w:b/>
          <w:sz w:val="28"/>
          <w:szCs w:val="28"/>
          <w:lang w:val="uk-UA"/>
        </w:rPr>
        <w:t>Публікації</w:t>
      </w:r>
      <w:r w:rsidR="00654352" w:rsidRPr="0086104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2A4B69" w:rsidRPr="0086104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2A4B69" w:rsidRPr="00861040" w:rsidRDefault="002A4B69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54352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С.О.,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Дуліна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І.О.,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А.В. Вплив пластифікації на реологічні властивості розчинів полімеру // Український хімічний журнал. – Т. 81, № 1/2. – 2015. - С. 62 – 68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244E19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наноструктурных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материалов в ИПМ НАН Украины, Минск: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Беларуская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наука. – 2015. – С.93-107.</w:t>
      </w:r>
      <w:r w:rsid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61040" w:rsidRPr="00861040" w:rsidRDefault="00861040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Dulina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T.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Lobunets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L. 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Klochkov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Obtaining of Ni/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NiO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nanopowder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from aqua solutions of </w:t>
      </w:r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Ni(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COO)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ammonia complexes //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Nanoscale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Research Letters. 2015. № 10.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1-17.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Kyrpal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Dulina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A. Effect of BaTiO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Nanopowder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Concentration on Rheological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Behaviour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of Ceramic Inkjet Inks // Journal of Physics: Conference Series.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2015. № 602. P. 1-5.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Ivanchenko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S.E.,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Dulina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I.O.,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Umerova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S.O. A.G.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Nikulin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A.V.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Formulation and Rheology of Tape Casting Suspensions Based on BaTiO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Nanopowders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//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Nanoplasmonics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Nano-Optics,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Nanocomposites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and Surface Studies: Springer - 2015.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P. 193-202.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M.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Zagorny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Zhygotsky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Ivanchuk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O.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Kuzma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(НТУУ КПИ),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Pozniy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Barium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titanate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nanoparticles self-organization from PVB-ethanol suspensions // Journal of Chemical Engineering and Chemistry Research, №2, 2015, p. 547-555.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Saide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Umerova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Iryna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Dulina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Andrey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V.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Rheology of plasticized polymer solutions. –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Építőanyag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- Journal of Silicate Based and Composite Materials. - Vol. 67, No. 4. – 2015. – P. 119–125.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С.О.,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Дуліна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І.О., А.В.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Трафаретний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паст </w:t>
      </w:r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нанопорошку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ВаТіО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// Керамика: наука и жизнь. – 2016. - Т. 31, № 2. – С. 31 – 41.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65435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С.О.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Дулі</w:t>
      </w:r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І.О, Д.І.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шаруватих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нанокомпозиті</w:t>
      </w:r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типу «метал -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діелектрик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методом трафаретного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друку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// Керамика: наука и жизнь. – 2016. – Т. 33, № 4. – С. 13 – 27.</w:t>
      </w:r>
      <w:r w:rsidR="00654352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4352" w:rsidRPr="00861040" w:rsidRDefault="00654352" w:rsidP="00654352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Іванченко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С.Е, С.О.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І.О.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Дуліна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Д.І.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Реологічні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івкоутворююча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полімерних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суспензіій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нанопорошку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ВaТiО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С.Е.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Іванченко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// Керамика: наука и жизнь. – 2016. – Т. 33, № 4 С. 28 – 39.</w:t>
      </w:r>
      <w:r w:rsid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040" w:rsidRPr="00861040" w:rsidRDefault="00861040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Іванченко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С.Е., С.О.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А.Г.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Нікулін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Д.І.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тонких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суцільних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керамічних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івок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нанопорошку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ВaТiО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методом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плівкового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лиття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С.Е.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Іванченко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// Керамика: наука и жизнь. – 2016. – Т. 33, № 4 С. 40 – 49.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І.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Кузьмов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41), М. Б. Штерн «</w:t>
      </w: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ідження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стійкості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спіканні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багатошарових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агломерації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нанодисперсних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порошків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Наукові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нотатки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ЛНТУ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Міжвузівський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збірник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галузями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знань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Машинобудування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металообробка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Інженерна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механіка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Металургія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матеріалознавство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»), –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Луцьк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28-32. – 2016. . - С.28-32.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B6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І.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Кузьмов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41), М. Б. Штерн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Комп&amp;apos;ютерне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зонального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уособлення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Ni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спіканні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багатошарових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керамічних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конденсаторів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Інститут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Матеріалознавства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</w:t>
      </w:r>
      <w:proofErr w:type="spellEnd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І.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Францевича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НАН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Збірник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праць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№18 "Математические модели и вычислительный эксперимент в материаловедении" –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Київ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85-92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– 2016.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Umerova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S., I.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Dulina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T.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Konstantinova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(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ФТІ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), V.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Glazunova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ФТІ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 Rheology of plasticized screen printing pastes based on BaTiO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nanopowder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// Applied Rheology. – 2016. - Vol. 3, No. 3. – P. 1 – 9.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Коваленко О.А.,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А.В.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Особливості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допування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нанодисперсного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порошку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титанату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барію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сегнетоелектриків-релаксорів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розмитим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фазовим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переходом» Керамика: наука и жизнь 1 (2017): 12-23.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Умерова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С.О.,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А.В. «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Магнітоелектричні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нанокомпозити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полімерною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матрицею як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перспективний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напрямок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матеріалознавства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Кераміка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наука та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життя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3(36), 2017: 15-19.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Дуліна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І.О.,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Рагуля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А.В.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Вивчення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будови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комплексних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сполук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Ni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(CH3COO)2—NH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—H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O методами І</w:t>
      </w:r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Ч-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КР-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спектроскопії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//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Український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хімічний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журнал. - 2017. № 9. 18 c.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Загорный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М.Н.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Нанодисперсные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порошки как наполнители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фотоактивных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композитов (Обзор). Порошковая металлургия. – 2017. – N3-4. – C. 13 – 36.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4B69" w:rsidRPr="00861040" w:rsidRDefault="002A4B6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tabs>
          <w:tab w:val="left" w:pos="284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Umerova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S.,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A. “Shear Thickening of BaTiO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Nanoparticles-Filled Non-Newtonian Polymer Suspensions"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Rheol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open access.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(2017): 1:105.</w:t>
      </w:r>
      <w:r w:rsidR="002A4B69"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4B69" w:rsidRPr="00861040" w:rsidRDefault="002A4B69" w:rsidP="002A4B69">
      <w:pPr>
        <w:tabs>
          <w:tab w:val="left" w:pos="284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19" w:rsidRPr="00861040" w:rsidRDefault="00244E19" w:rsidP="002A4B69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Umerova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S.,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Ragulya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A. "Coexistence of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Rheopexy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Dilatancy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 Polymer Suspensions Filled with Ceramic Nanoparticles" </w:t>
      </w:r>
      <w:proofErr w:type="spellStart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Rheol</w:t>
      </w:r>
      <w:proofErr w:type="spell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open access.</w:t>
      </w:r>
      <w:proofErr w:type="gramEnd"/>
      <w:r w:rsidRPr="0086104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(2017): 1: e102.</w:t>
      </w:r>
    </w:p>
    <w:p w:rsidR="00244E19" w:rsidRPr="00861040" w:rsidRDefault="00244E19" w:rsidP="00244E19">
      <w:pPr>
        <w:tabs>
          <w:tab w:val="left" w:pos="3960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104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244E19" w:rsidRPr="00861040" w:rsidRDefault="00244E19" w:rsidP="002A4B69">
      <w:pPr>
        <w:tabs>
          <w:tab w:val="left" w:pos="360"/>
          <w:tab w:val="left" w:pos="3960"/>
        </w:tabs>
        <w:ind w:left="1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7235" w:rsidRPr="00861040" w:rsidRDefault="00FB7235" w:rsidP="00FB72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7235" w:rsidRPr="00861040" w:rsidRDefault="00FB7235" w:rsidP="00FB7235">
      <w:pPr>
        <w:pStyle w:val="21"/>
        <w:shd w:val="clear" w:color="auto" w:fill="auto"/>
        <w:spacing w:line="360" w:lineRule="auto"/>
        <w:rPr>
          <w:sz w:val="24"/>
          <w:szCs w:val="24"/>
          <w:lang w:val="uk-UA"/>
        </w:rPr>
      </w:pPr>
    </w:p>
    <w:p w:rsidR="00FB7235" w:rsidRPr="00861040" w:rsidRDefault="00FB7235" w:rsidP="00FB72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7235" w:rsidRPr="00861040" w:rsidRDefault="00FB7235" w:rsidP="00FB7235">
      <w:pPr>
        <w:shd w:val="clear" w:color="auto" w:fill="FFFFFF"/>
        <w:spacing w:before="10" w:line="480" w:lineRule="exact"/>
        <w:ind w:left="24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B7235" w:rsidRPr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DF72E4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F2405C"/>
    <w:multiLevelType w:val="multilevel"/>
    <w:tmpl w:val="B5C4CCD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2">
    <w:nsid w:val="11BF789D"/>
    <w:multiLevelType w:val="multilevel"/>
    <w:tmpl w:val="F658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5921"/>
    <w:multiLevelType w:val="multilevel"/>
    <w:tmpl w:val="37EE07F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>
    <w:nsid w:val="34990611"/>
    <w:multiLevelType w:val="multilevel"/>
    <w:tmpl w:val="BC9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146D8"/>
    <w:multiLevelType w:val="multilevel"/>
    <w:tmpl w:val="375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554D"/>
    <w:multiLevelType w:val="multilevel"/>
    <w:tmpl w:val="716E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458EE"/>
    <w:multiLevelType w:val="multilevel"/>
    <w:tmpl w:val="E19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E"/>
    <w:rsid w:val="00213CBC"/>
    <w:rsid w:val="00231DFF"/>
    <w:rsid w:val="00244E19"/>
    <w:rsid w:val="002A4B69"/>
    <w:rsid w:val="004D3BC8"/>
    <w:rsid w:val="00654352"/>
    <w:rsid w:val="00861040"/>
    <w:rsid w:val="009E1541"/>
    <w:rsid w:val="00AA59EE"/>
    <w:rsid w:val="00B320F2"/>
    <w:rsid w:val="00D2065E"/>
    <w:rsid w:val="00E44001"/>
    <w:rsid w:val="00F2197E"/>
    <w:rsid w:val="00F40BD8"/>
    <w:rsid w:val="00FB5198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B72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B723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B7235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FB7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7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9E1541"/>
  </w:style>
  <w:style w:type="character" w:customStyle="1" w:styleId="publisher-date">
    <w:name w:val="publisher-date"/>
    <w:basedOn w:val="a0"/>
    <w:rsid w:val="009E1541"/>
  </w:style>
  <w:style w:type="character" w:customStyle="1" w:styleId="publisher">
    <w:name w:val="publisher"/>
    <w:basedOn w:val="a0"/>
    <w:rsid w:val="009E1541"/>
  </w:style>
  <w:style w:type="character" w:customStyle="1" w:styleId="1">
    <w:name w:val="Дата1"/>
    <w:basedOn w:val="a0"/>
    <w:rsid w:val="009E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B72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B723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B7235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FB7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7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9E1541"/>
  </w:style>
  <w:style w:type="character" w:customStyle="1" w:styleId="publisher-date">
    <w:name w:val="publisher-date"/>
    <w:basedOn w:val="a0"/>
    <w:rsid w:val="009E1541"/>
  </w:style>
  <w:style w:type="character" w:customStyle="1" w:styleId="publisher">
    <w:name w:val="publisher"/>
    <w:basedOn w:val="a0"/>
    <w:rsid w:val="009E1541"/>
  </w:style>
  <w:style w:type="character" w:customStyle="1" w:styleId="1">
    <w:name w:val="Дата1"/>
    <w:basedOn w:val="a0"/>
    <w:rsid w:val="009E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2DCB-FE12-446F-9C2D-60396BC7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1151</Words>
  <Characters>6562</Characters>
  <Application>Microsoft Office Word</Application>
  <DocSecurity>0</DocSecurity>
  <Lines>54</Lines>
  <Paragraphs>15</Paragraphs>
  <ScaleCrop>false</ScaleCrop>
  <Company>Krokoz™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2018-02-26T12:54:00Z</dcterms:created>
  <dcterms:modified xsi:type="dcterms:W3CDTF">2018-03-05T11:51:00Z</dcterms:modified>
</cp:coreProperties>
</file>